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9F" w:rsidRPr="00936F9F" w:rsidRDefault="00936F9F" w:rsidP="00936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F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 1 к Методике</w:t>
      </w:r>
    </w:p>
    <w:p w:rsidR="00936F9F" w:rsidRPr="00936F9F" w:rsidRDefault="00936F9F" w:rsidP="00936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936F9F" w:rsidRPr="00936F9F" w:rsidRDefault="00936F9F" w:rsidP="00936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F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№ 1</w:t>
      </w:r>
    </w:p>
    <w:p w:rsidR="00936F9F" w:rsidRPr="00936F9F" w:rsidRDefault="00936F9F" w:rsidP="00936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936F9F" w:rsidRPr="00936F9F" w:rsidRDefault="00936F9F" w:rsidP="00936F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F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показателей эффективности деятельности по предупреждению коррупции в  ГБУСОН РО « ЦСПСД Советского района»</w:t>
      </w:r>
    </w:p>
    <w:p w:rsidR="00936F9F" w:rsidRPr="00936F9F" w:rsidRDefault="00936F9F" w:rsidP="00936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709"/>
        <w:gridCol w:w="142"/>
        <w:gridCol w:w="425"/>
        <w:gridCol w:w="142"/>
        <w:gridCol w:w="141"/>
        <w:gridCol w:w="1560"/>
        <w:gridCol w:w="4961"/>
        <w:gridCol w:w="2126"/>
      </w:tblGrid>
      <w:tr w:rsidR="00936F9F" w:rsidRPr="00936F9F" w:rsidTr="003341C8">
        <w:trPr>
          <w:trHeight w:val="21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Критерии оценки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 баллах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Показатель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Оценка организации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936F9F" w:rsidRPr="00936F9F" w:rsidTr="003341C8">
        <w:trPr>
          <w:trHeight w:val="21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36F9F" w:rsidRPr="00936F9F" w:rsidTr="003341C8">
        <w:trPr>
          <w:trHeight w:val="42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t>I</w:t>
            </w: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Организационные мероприятия по предупреждению  коррупции в организации</w:t>
            </w:r>
          </w:p>
        </w:tc>
      </w:tr>
      <w:tr w:rsidR="00936F9F" w:rsidRPr="00936F9F" w:rsidTr="003341C8">
        <w:trPr>
          <w:trHeight w:val="54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Показатели, отражающие организацию работы по предупреждению коррупции в организации</w:t>
            </w:r>
          </w:p>
        </w:tc>
      </w:tr>
      <w:tr w:rsidR="00936F9F" w:rsidRPr="00936F9F" w:rsidTr="003341C8">
        <w:trPr>
          <w:trHeight w:val="23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Штатная численность (в %) подразделения (специалистов) организации, в функции которых включено предупреждение коррупции к общей штатной численности организации.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 если менее 1%;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– если от 1 до 2 %; включительно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 – если более 2%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Общая штатная численность составляет 27,5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специалиста в организации, в функции которых включено предупреждение коррупции.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Штатная численность  составляет  7,2 % подразделения (специалистов) организации, в функции которых включено предупреждение коррупции к общей штатной численности организации.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27,5  - 100%    х=200: 27,5  х= 7,27%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      -х %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Итого 2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балла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Укомплектованность подразделения (должностей, в функции которых включено предупреждение коррупции в организации)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 если менее 85%;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– если 85% и более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Штатной численность работников организации, должностной инструкцией которых предусмотрено выполнение функций по предупреждению коррупции – 2 человека,  фактической численность указанных специалистов составляет 2 человека. Укомплектованность подразделения (должностей, в функции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которых включено предупреждение коррупции в организации) составляет  100%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Итого: 2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2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(в %)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 если менее 50%;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0,5 – если 50% и более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Пивоварова Е.Ф  ответственное лицо имеет опыт работы  5 лет и 11 месяцев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 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 04.04.2019 г  №38) в указанной сфере. В случае отсутствия ответственного лица  за профилактику и иных правонарушений в учреждении замещающие лицо Усенко А.Н.  имеет опыт работы  7 лет  (приказ 09.01.2018 г  № 11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)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Доля 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 составляет  100%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Итого: 0,5 </w:t>
            </w:r>
            <w:proofErr w:type="spell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балаа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0,5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в организации плана мероприятий по предупреждению коррупции на календарный год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Ежегодно разрабатывается  и утверждается  План мероприятий по предупреждению коррупции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Итого:2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Федерации, в перечень коррупционно-опасных должностей могут включаться: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 руководитель, заместители руководителя 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 должности, замещение которых предусматривает защиту интересов организации в судах, контрольно-надзорных органах.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- 3 (при отсутствии перечня)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или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- 0,5) – за каждую должность,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 включенную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перечень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Перечень коррупционно - опасных должностей, утвержденный приказом директора от 10.01.2022 №1  Приложением 2 Перечень должностей, связанных с высоким коррупционным риском.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перечень включены: директор, главный бухгалтер, бухгалтер, экономист, инспектор по кадрам, заведующий хозяйством, медицинская сестра, заведующий отделением, социальный педагог, педагог - психолог, специалист по социальной работе, инструктор по труду, музыкальный руководитель, психолог,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юрисконсульт. </w:t>
            </w:r>
            <w:proofErr w:type="gramEnd"/>
          </w:p>
          <w:p w:rsidR="00936F9F" w:rsidRPr="00936F9F" w:rsidRDefault="00936F9F" w:rsidP="0093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Должность, замещение которой  предусматривает осуществление учета, хранения, материальных ценностей организации является должностью завхоза и предусматривает выполнение функции, обозначенной в столбце «наименование показателя» настоящей строки таблицы</w:t>
            </w:r>
          </w:p>
          <w:p w:rsidR="00936F9F" w:rsidRPr="00936F9F" w:rsidRDefault="00936F9F" w:rsidP="0093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Должность, замещение которой которых предусматривает защиту интересов организации в судах, контрольно-надзорных органах  является должностью директора  и предусматривает выполнение функции, обозначенной в столбце «наименование показателя» настоящей строки таблицы</w:t>
            </w:r>
          </w:p>
          <w:p w:rsidR="00936F9F" w:rsidRPr="00936F9F" w:rsidRDefault="00936F9F" w:rsidP="0093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Должности, замещение которых предусматривает участие в закупках товаров, работ и услуг в Перечень не внесены. </w:t>
            </w:r>
          </w:p>
          <w:p w:rsidR="00936F9F" w:rsidRPr="00936F9F" w:rsidRDefault="00936F9F" w:rsidP="0093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 3-0,5 =2,5 балла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2,5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в организации не реже 1 раза в год оценки коррупционных рисков, на основе которой формируется, обновляется перечень коррупционно-опасных должностей.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заседании комиссии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противодействии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коррупции  1 раз в год  оцениваются  коррупционные риски, на основе которой формируется  перечень коррупционно-опасных должностей.  Результат проведенной оценки коррупционных рисков документально оформляться протоколом заседания  и доводится до руководителя.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балл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Ежегодное обновление перечня коррупционно-опасных функций организации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numPr>
                <w:ilvl w:val="0"/>
                <w:numId w:val="1"/>
              </w:numPr>
              <w:tabs>
                <w:tab w:val="left" w:pos="394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виду отсутствия изменений,  представленных  Перечень коррупционно-опасных функций, осуществляемых учреждением на 2025 год, Перечень коррупционно-опасных услуг, осуществляющих учреждением на 2025 год, Перечень  должностей, имеющих в учреждении, связанных с высоким коррупционным риском на 2024 год комиссией, утвержденные   2025 (приказ от 10.01.2022)  принято решение оставить без изменений.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Протокол заседания комиссии по противодействию   об установлении функций или информация об отсутствии необходимости обновления, согласуется директором учреждения и утверждается приказом (приказ  от 28.12.2024  </w:t>
            </w:r>
            <w:proofErr w:type="gramEnd"/>
          </w:p>
          <w:p w:rsidR="00936F9F" w:rsidRPr="00936F9F" w:rsidRDefault="00936F9F" w:rsidP="00936F9F">
            <w:pPr>
              <w:numPr>
                <w:ilvl w:val="0"/>
                <w:numId w:val="1"/>
              </w:numPr>
              <w:tabs>
                <w:tab w:val="left" w:pos="394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«О согласовании  протокола заседании комиссии противодействии коррупции №4  от 20.12.2024года   «</w:t>
            </w:r>
            <w:r w:rsidRPr="0093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рассмотрении и утверждении Перечня коррупционно-опасных функций, осуществляемых учреждением на 2025 год, Об утверждении Перечня коррупционно-опасных услуг, осуществляющих учреждением на 2025 год, Об утверждении Перечня </w:t>
            </w:r>
            <w:r w:rsidRPr="0093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должностей, имеющих в учреждении, связанных с высоким коррупционным риском на 2025 год»»).</w:t>
            </w:r>
            <w:proofErr w:type="gramEnd"/>
          </w:p>
          <w:p w:rsidR="00936F9F" w:rsidRPr="00936F9F" w:rsidRDefault="00936F9F" w:rsidP="00936F9F">
            <w:pPr>
              <w:tabs>
                <w:tab w:val="left" w:pos="39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1 балл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1.1.8.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перечня нормативных правовых актов в сфере противодействия коррупции и локальных правовых актов организации в сфере предупреждения коррупции, ознакомление с которыми обязательно для лиц, принимаемых (назначаемых) на коррупционно-опасные должности в организацию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учреждении имеется  перечень нормативных правовых актов в сфере противодействия коррупции и локальных правовых актов организации в сфере предупреждения коррупции в соответствии с законодательством Российской Федерации и Ростовской области, Принимаемые (назначаемые) на коррупционно-опасные должности в организацию знакомятся с каждым локальным актом. К каждому локальному нормативному акту приложен акт ознакомления.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1 балл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балл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116" w:hanging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1.1.9.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об утверждении антикоррупционной политики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об утверждении (принятии) кодекса этики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 служебного поведения работников 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об утверждении положения о конфликте интересов в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об определении процедуры информирования работниками организации работодателя о случаях склонения их к совершению коррупционных нарушений и порядок рассмотрения соответствующей информации;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об 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организации, ответственных за разработку и реализацию мер по предупреждению коррупции;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об утверждении перечня функций организации, выполнение которых связано с коррупционными рисками, и перечня должностей, исполнение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обязанностей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 замещении которых наиболее подвержено коррупционным рискам (коррупционно-опасные должности)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об утверждении процедуры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защиты работников, сообщивших о коррупционных правонарушениях в деятельности организации от формальных и неформальных санкций;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об утверждении порядка информирования работодателя о ставшей известной работнику информации о случаях совершения коррупционных правонарушений;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– 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определяющий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10 – если все необходимые локальные акты приняты и находятся в актуальном состоянии;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– 2) – за каждый отсутствующий локальный акт или принятый локальный акт не соответствует требованиям законодательства Российской Федерации, или находится в неактуальной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редакции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 учреждении имеются следующие нормативные акты в области антикоррупционного законодательства: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приказом от 11.08.2021 №86 утверждена Антикоррупционная политика  учреждения с приложениями: регламент обмена деловыми подарками и знаками делового гостеприимства в ГБУСОН РО « ЦСПСД Советского района», положение о конфликте интересов с приложениями: типовые ситуации конфликта интересов и декларация конфликта интересов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 пункты 3-5 приказа от29.12.2017 №73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признаны утратившим силу);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приказом от 19.10 2019 № 80 утвержден новый Кодекс этики и служебного поведения работников учреждения (ранее действующий приказ от 09.10.2014года №82 признан утратившим силу);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-- приказом от 16.12 2019 № 108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утверждены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Порядок уведомления о фактах обращения в целях склонения их к совершению коррупционных правонарушений  с приложениями (приложение 1);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Порядок 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 с приложениями (приложение №2);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приказом от17.12.2019 №109 утверждено Положение о комиссии по соблюдению требований к служебному поведению работников учреждения и урегулированию конфликта интересов (приложение №2) и ее состав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 приложение №1) с изменениями от 12.05.2023 №61;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-приказом от 11.01.2021 №03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утверждены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Антикоррупционный стандарт в сфере организации закупок для нужд учреждения (приложение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Стандарт антикоррупционного поведения работников учреждения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 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приложение №2);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- приказом от 10.06.2021 № 66 утверждено Положение о взаимодействии лица,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работников, которая приводит или может привести к конфликту интересов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осуществлению закупок в ГБУСОН РО « ЦСПСД Советского района» с приложениями от 19.12.2022 №109;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приказом от 29.12.2017 №82 утверждена Карта коррупционных рисков ГБУСОН РО «ЦСПСД Советского района»;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приказом от 14.05.2021 №52 утверждено Положение об информационной открытости ГБУСОН РО «ЦСПСД Советского района»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(приложение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-приказом от31.12.2014 №116 « О недопустимости составления неофициальной отчетности и использования  поддельных документов установлена персональная ответственность  работников учреждения за составление неофициальной отчетности и использование поддельных документов, в компетенцию которых входит подготовка, составление, представление, направление отчетности и иных документов;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-приказом от 15.05.2021 №53 утверждены Стандарты и процедуры, направленные на обеспечение добросовестной работы учреждения.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Итого: 10 баллов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10 балов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1.1.10.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Журналы прошиты, страницы пронумерованы и своевременно заполняются в полном объеме.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том числе журналы: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учета ознакомления лиц, принимаемых на коррупционно-опасные должности в организацию или замещающих указанные должности, с требованиями законодательства о противодействии коррупции и локальными правовыми актами организации по предупреждению коррупции; 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регистрации уведомлений о фактах обращения в целях склонения работников организации к совершению коррупционных правонарушений; 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регистрации информации о ставших известными работнику случаях совершения коррупционных правонарушений.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или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минус 0,5 за каждый отсутствующий журнал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В учреждении имеется  Журнал ознакомления работников учреждения с нормативными правовыми актами в сфере  антикоррупционного законодательства Российской Федерации и Ростовской области, регламентирующие вопросы противодействия коррупции, ознакомление  происходит ежегодно, с подписью работников учреждения   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Журнала учета ознакомления лиц, принимаемых на коррупционно-опасные должности в организацию или замещающих указанные должности, с требованиями законодательства о противодействии коррупции и локальными правовыми актами организации по предупреждению коррупции в учреждении нет. К каждому локальному акту прилагается лист ознакомления. При приеме на работу  ответственное лицо знакомит с каждым локальным  актом с подписью в листе ознакомления с локальным правовым актом. </w:t>
            </w:r>
          </w:p>
          <w:p w:rsidR="00936F9F" w:rsidRPr="00936F9F" w:rsidRDefault="00936F9F" w:rsidP="00936F9F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Журнала регистрации ежегодных деклараций о возможной личной заинтересованности при осуществлении закупок товаров, работ и услуг в учреждении нет.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Имеются журналы: регистрации уведомлений работодателя о фактах обращения  в целях склонения работника к совершению  коррупционных правонарушений, регистрации уведомлений о возникновении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личной заинтересованности при исполнении  должностных обязанностей, которая приводит или может привести к конфликту интересов. Журналы прошиты, страницы пронумерованы и своевременно заполняются в полном объеме.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Итого: 3балла – 0,5-0,5= 2балла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2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1.1.11.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трудовые договоры работников, замещающих должности, включенные в перечень коррупционно-опасных должностей, включена антикоррупционная оговорка (антикоррупционные положения)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или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трудовом договоре директора внесены изменения в части положений, предусматривающих персональную ответственность за состояние антикоррупционной работы, с 01.09.2019 года внесены положения антикоррупционного законодательства и ответственность за их нарушение. В трудовые договоры работников, замещающих должности, включенные в перечень коррупционно-опасных должностей, включена антикоррупционная оговорка (антикоррупционные положения) о недопущении нецелевого, неправомерного и неэффективного  использования бюджетных средств и государственного имущества.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Итого: 5 баллов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баллов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1.1.12.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Отдельный абонентский  номер организации под номер «телефона доверия»  не выделен.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Итого: 0 баллов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0 баллов </w:t>
            </w:r>
          </w:p>
        </w:tc>
      </w:tr>
      <w:tr w:rsidR="00936F9F" w:rsidRPr="00936F9F" w:rsidTr="003341C8">
        <w:trPr>
          <w:trHeight w:val="7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Мероприятия, включенные в план по предупреждению коррупции в организации на отчетный период,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не исполнены или не реализованы в срок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- 1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за каждое не исполненное в срок мероприятие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Мероприятия, включенные в план по предупреждению коррупции в организации на отчетный период,  исполнены и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реализованы в срок.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Итого: 0 баллов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0 баллов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Сообщения о заключении трудового договора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(если оснований для направления сообщений не возникало, то ставится максимальный балл)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– 3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 каждый факт не направления сообщения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Оснований для направления сообщений не возникало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2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 от общего числа лиц, поступивших на работу в организацию лиц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менее 100 %;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100 %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 от общего числа лиц,  поступивших на работу в организацию лиц, составляет 100%.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1,5 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 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Наличие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использованием специальной электронной формы)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В учреждении нет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Итого: 0 баллов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0 баллов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1.2.5.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коррупции, организована соответствующая проверка, от общего числа вышеуказанных уведомлений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если менее </w:t>
            </w:r>
          </w:p>
          <w:p w:rsidR="00936F9F" w:rsidRPr="00936F9F" w:rsidRDefault="00936F9F" w:rsidP="00936F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100 %;</w:t>
            </w:r>
          </w:p>
          <w:p w:rsidR="00936F9F" w:rsidRPr="00936F9F" w:rsidRDefault="00936F9F" w:rsidP="00936F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100 %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2024 году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 не поступало.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1,5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1.2.6.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(процентов) работников, замещающих коррупционно-опасные должности, ознакомленных с нормативными правовыми актами, локальными правовыми актами организации в сфере противодействия коррупции (под подпись) от общего числа указанных работников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менее 75 %;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0,7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от 75 % до 85 %;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 –</w:t>
            </w:r>
          </w:p>
          <w:p w:rsidR="00936F9F" w:rsidRPr="00936F9F" w:rsidRDefault="00936F9F" w:rsidP="00936F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если 85 % и более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(процентов) работников, замещающих коррупционно-опасные должности, ознакомленных с нормативными правовыми актами, локальными правовыми актами организации в сфере противодействия коррупции (под подпись) от общего числа указанных работников составляет 100%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1,5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балл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1.2.7.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 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0 –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мероприятия не проводились;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0,5 –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если проведено 1 мероприятие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проведено 2 и более мероприятий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не реже 2 раза в. год 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1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балл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1.2.8.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Разработка памяток, пособий и иных методических материалов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учреждении ведется по профилактике коррупционных и иных правонарушений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1,5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1,5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1.2.9.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направленности, основанием для возбуждения которых послужили не материалы подразделения (работника), в функции которого включено предупреждение коррупции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 5,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 каждый факт возбуждения уголовного 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Фактов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   в 2024 году не установлено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Итого:  0 балла.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1.2.10.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  <w:proofErr w:type="gramEnd"/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менее 90 %;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–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если 90 % и более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Приказом от 17.12.2019 года утверждено Положение комиссии по соблюдению требований к служебному поведению работников учреждения и урегулирование конфликта интересо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в(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приложение2) и ее состав (приложение 1), с изменениями от 12.05.2023 №61. В учреждении проводятся занятия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беседы, консультирования по вопросам коррупции . Случаев конфликтов в учреждении в 2024 году  не установлено 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Итого: 1 балл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балл 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1.2.11.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Применение мер дисциплинарной ответственности к работнику организации, сообщившему в правоохранительные или иные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государственные органы или средства массовой информации о ставших ему известными фактах коррупции, осуществлено с нарушением требований локального правового акта организации 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proofErr w:type="gramEnd"/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– 3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за каждый имеющийся факт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Фактов применения мер дисциплинарной ответственности к работнику организации, сообщившему в правоохранительные или иные государственные органы или средства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массовой информации о ставших ему известными фактах коррупции, осуществлено с нарушением требований локального правового акта организации 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 в 2024 году не установлено. </w:t>
            </w:r>
            <w:proofErr w:type="gramEnd"/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 0 баллов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0 баллов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1.2.12.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  <w:proofErr w:type="gramEnd"/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 2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за каждый случай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 в 2024 году не установлено.</w:t>
            </w:r>
            <w:proofErr w:type="gramEnd"/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 xml:space="preserve"> Итого 0 баллов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баллов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318"/>
              </w:tabs>
              <w:spacing w:after="0" w:line="240" w:lineRule="auto"/>
              <w:ind w:left="-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1.2.13.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 xml:space="preserve">Количество представлений прокурора, внесенных органу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lastRenderedPageBreak/>
              <w:t xml:space="preserve">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>результатам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 xml:space="preserve"> рассмотрения которых представления прокурора удовлетворены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– 2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 каждое внесенное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представление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lastRenderedPageBreak/>
              <w:t xml:space="preserve">Количество представлений прокурора, внесенных органу власти, органу местного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lastRenderedPageBreak/>
              <w:t xml:space="preserve">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>результатам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 xml:space="preserve"> рассмотрения которых представления прокурора удовлетворены в 2024 году не установлено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  <w:lang w:eastAsia="ru-RU"/>
              </w:rPr>
              <w:t xml:space="preserve"> Итого 0 баллов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1балл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36F9F" w:rsidRPr="00936F9F" w:rsidTr="003341C8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lastRenderedPageBreak/>
              <w:t>II</w:t>
            </w: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. Мероприятия по предупреждению коррупции при осуществлении закупок товаров и услуг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учреждении приказом от 01.01.2024 №01 создана единая комиссия по осуществлению закупок для нужд  ГБУСОН РО « ЦСПСД Советского района» В состав комиссии входит директор ( председатель комиссии), юрисконсульт ( секретарь комиссии), члены комиссии: главный бухгалтер, медсестра и завхоз внесены  в перечень коррупционно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–о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пасных   должностей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Итого:2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договорах на закупку товаров работ и услуг используется антикоррупционная оговорка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-2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или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В договорах на закупку товаров работ и услуг используется антикоррупционная оговорка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 2балла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Приказом  10.01.2022 года № 3 утверждены и введены в действие отдельные локальные нормативные акты по организации закупочной деятельности в учреждении: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Положение о единой комиссии  по определению поставщиков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 подрядчиков, исполнителей с учетом закупок у единственного поставщика  в соответствии с п.4 ч.1ст.93 Федерального закона № 44 ФЗ от 05.04.2023 « О контрактной системе в сфере закупок товаров, услуг для обеспечения  государственных и муниципальных нужд»  (приложение 1 к приказу);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Антикоррупционная политика в закупочной деятельности учреждения (приложение 2 к приказу);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-Положение о контрактной службе государственного бюджетного учреждения социального обслуживания населения Ростовской области « Центр социальной помощи семье и детям Советского района» (приложение 3 к приказу);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Положение об организации осуществления закупок, товаров, услуг  у единственного поставщик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а(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подрядчика, исполнителя) для обеспечения  нужд государственного бюджетного учреждения социального обслуживания населения Ростовской области « Центр социальной помощи семье и детям Советского района» (приложение 4 к приказу);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 Административный регламент закупки у единственного поставщика (исполнителя, подрядчика) (приложение 5 к приказу);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-Положение о приемочной комиссии ГБУСОН РО « ЦСПСД Советского района»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(приложение 6 к приказу);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Итого: 3 балла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от 10.06.2021 № 66 Положение о взаимодействии лица,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работников, которая приводит или может привести к конфликту интересов при осуществлении закупок в ГБУСОН РО «ЦСПСД Советского района»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2балла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балла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Пивоварова Е.Ф.  и Усенко А.Н. прошли курсы « Основы профилактики коррупции» в  29.04.2024 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 0 баллов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0  баллов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2.6.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организации сформированы профили работников, участвующих в закупках товаров, работ и услуг и профили исполнителей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(соисполнителей) контракта.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ГБУСОН РО « ЦСПСД  Советского района»  не  сформированы профили работников, участвующих в закупках товаров, работ и услуг и профили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исполнителей (соисполнителей) контракта.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0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0  баллов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Подразделением (специалистом) организации, в функции которого включено предупреждение коррупции,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Ответственным специалистом организации, в функции которого включено предупреждение коррупции,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1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 балл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2.8.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прокуратуры), содержащих сведения о нарушениях законодательства в сфере закупок товаров, работ и услуг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(в случае отсутствия в отчетном периоде указанных писем, ставится максимальный балл)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2024 отсутствуют  в отчетном периоде указанные письма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 2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 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2.9.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организации специальных программных продуктов для проверки контрагентов нет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0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0  баллов </w:t>
            </w:r>
          </w:p>
        </w:tc>
      </w:tr>
      <w:tr w:rsidR="00936F9F" w:rsidRPr="00936F9F" w:rsidTr="003341C8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III. Обеспечение информационной открытости деятельности организации по предупреждению коррупции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 официальном сайте организации сформирован раздел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«Противодействие коррупции», простота доступа к которому обеспечивается одним переходом с главной страницы сайта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 –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если раздел сформирован и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необходим один переход;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–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если раздел сформирован и необходимо 2 перехода;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0 –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если раздел не сформирован или необходимо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три и более переходов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Раздел сайта «Противодействие коррупции» размещен на главной странице сайта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организации, переход к разделу осуществляется в один клик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Итого 3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3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актуальный текст акта.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или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минус 0,5 за каждый отсутствующий акт или акт, размещенный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неактуальной редакции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списка гиперссылок нормативных правовых актов и локальных нормативных актов по вопросам противодействия коррупции с приложением файлов, содержат полный актуальный текст акта.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5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 баллов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936F9F" w:rsidRPr="00936F9F" w:rsidRDefault="00936F9F" w:rsidP="00936F9F">
            <w:pPr>
              <w:spacing w:before="120" w:after="120" w:line="264" w:lineRule="auto"/>
              <w:jc w:val="both"/>
              <w:outlineLvl w:val="3"/>
              <w:rPr>
                <w:rFonts w:ascii="XO Thames" w:eastAsia="Times New Roman" w:hAnsi="XO Thames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XO Thames" w:eastAsia="Times New Roman" w:hAnsi="XO Thames" w:cs="Times New Roman"/>
                <w:b/>
                <w:color w:val="000000"/>
                <w:sz w:val="24"/>
                <w:szCs w:val="20"/>
                <w:lang w:eastAsia="ru-RU"/>
              </w:rPr>
              <w:t>(статья 349.5 ТК РФ)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Замечаний нет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 1 бал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балл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включающему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том числе информацию о: 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нормативном правовом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акте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регламентирующем порядок рассмотрения обращений граждан;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 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включающему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том числе информацию о: нормативном правовом акте, регламентирующем порядок рассмотрения обращений граждан; 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и локальных правовых актов организации законодательства и локальных правовых актов организации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 2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разделе «Противодействие коррупции» официального сайта организации отражена информация: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 «телефоне доверия», 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– 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работнике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организации, в функции которого включено предупреждение коррупции, с указанием его рабочего телефона, рабочей электронной почты и периодов работы,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об органе власти, органе самоуправления, осуществляющем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деятельностью по предупреждению коррупции в организации;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об органах прокуратуры Ростовской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 информация о мероприятиях, проведенных в организации по вопросам предупреждения коррупции;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– формы уведомлений, обращений и иных документов, заполняемых работниками организации или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гражданами в целях предупреждения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или 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минус 0,5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 каждую отсутствующую информацию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Формы уведомлений, обращений и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иных документов, заполняемых работниками организации или гражданами в целях предупреждения коррупции требует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актуализации</w:t>
            </w:r>
          </w:p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Итого: 3,5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Итого 3,5 балла </w:t>
            </w:r>
          </w:p>
        </w:tc>
      </w:tr>
      <w:tr w:rsidR="00936F9F" w:rsidRPr="00936F9F" w:rsidTr="003341C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tabs>
                <w:tab w:val="left" w:pos="0"/>
              </w:tabs>
              <w:spacing w:after="0" w:line="240" w:lineRule="auto"/>
              <w:ind w:left="-82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Наличие в организации стенда, отражающего актуальные вопросы по предупреждению коррупции:</w:t>
            </w:r>
          </w:p>
          <w:p w:rsidR="00936F9F" w:rsidRPr="00936F9F" w:rsidRDefault="00936F9F" w:rsidP="00936F9F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о нормативных правовых актах и локальных правовых актах организации в сфере противодействия коррупции;</w:t>
            </w:r>
          </w:p>
          <w:p w:rsidR="00936F9F" w:rsidRPr="00936F9F" w:rsidRDefault="00936F9F" w:rsidP="00936F9F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организации;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«телефон доверия»; 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 органе власти, органе самоуправления, осуществляющем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деятельностью по предупреждению коррупции в организации;</w:t>
            </w:r>
          </w:p>
          <w:p w:rsidR="00936F9F" w:rsidRPr="00936F9F" w:rsidRDefault="00936F9F" w:rsidP="00936F9F">
            <w:pPr>
              <w:spacing w:after="0" w:line="240" w:lineRule="auto"/>
              <w:ind w:firstLine="41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 правоохранительных органах, осуществляющих противодействие </w:t>
            </w: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936F9F" w:rsidRPr="00936F9F" w:rsidRDefault="00936F9F" w:rsidP="00936F9F">
            <w:pPr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ГБУСОН РО « ЦСПСД Советского района»   имеется в наличие </w:t>
            </w: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стенд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отражающий  актуальные вопросы по предупреждению коррупции</w:t>
            </w:r>
          </w:p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Итого 3 балла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 балла </w:t>
            </w:r>
          </w:p>
        </w:tc>
      </w:tr>
    </w:tbl>
    <w:p w:rsidR="00936F9F" w:rsidRPr="00936F9F" w:rsidRDefault="00936F9F" w:rsidP="00936F9F">
      <w:pPr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936F9F">
        <w:rPr>
          <w:rFonts w:ascii="Calibri" w:eastAsia="Times New Roman" w:hAnsi="Calibri" w:cs="Times New Roman"/>
          <w:color w:val="000000"/>
          <w:szCs w:val="20"/>
          <w:lang w:eastAsia="ru-RU"/>
        </w:rPr>
        <w:lastRenderedPageBreak/>
        <w:br w:type="page"/>
      </w:r>
    </w:p>
    <w:p w:rsidR="00936F9F" w:rsidRPr="00936F9F" w:rsidRDefault="00936F9F" w:rsidP="00936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F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Таблица № 2</w:t>
      </w:r>
    </w:p>
    <w:p w:rsidR="00936F9F" w:rsidRPr="00936F9F" w:rsidRDefault="00936F9F" w:rsidP="00936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536"/>
        <w:gridCol w:w="2551"/>
        <w:gridCol w:w="2552"/>
        <w:gridCol w:w="2166"/>
        <w:gridCol w:w="2937"/>
      </w:tblGrid>
      <w:tr w:rsidR="00936F9F" w:rsidRPr="00936F9F" w:rsidTr="003341C8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Суммарные баллы по итогам мониторинга</w:t>
            </w:r>
          </w:p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36F9F" w:rsidRPr="00936F9F" w:rsidTr="003341C8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разделу 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разделу II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разделу III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балл</w:t>
            </w:r>
          </w:p>
        </w:tc>
      </w:tr>
      <w:tr w:rsidR="00936F9F" w:rsidRPr="00936F9F" w:rsidTr="003341C8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Максимум баллов по разделу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  <w:tr w:rsidR="00936F9F" w:rsidRPr="00936F9F" w:rsidTr="003341C8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ГБУСОН РО « ЦСПСД Советского района»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9F" w:rsidRPr="00936F9F" w:rsidRDefault="00936F9F" w:rsidP="0093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6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69,5 </w:t>
            </w:r>
          </w:p>
        </w:tc>
      </w:tr>
    </w:tbl>
    <w:p w:rsidR="00936F9F" w:rsidRPr="00936F9F" w:rsidRDefault="00936F9F" w:rsidP="00936F9F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36F9F" w:rsidRPr="00936F9F" w:rsidRDefault="00936F9F" w:rsidP="00936F9F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43677" w:rsidRDefault="00C43677">
      <w:bookmarkStart w:id="0" w:name="_GoBack"/>
      <w:bookmarkEnd w:id="0"/>
    </w:p>
    <w:sectPr w:rsidR="00C43677" w:rsidSect="00936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BAA2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97431"/>
    <w:multiLevelType w:val="multilevel"/>
    <w:tmpl w:val="AE28C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6"/>
    <w:rsid w:val="00936F9F"/>
    <w:rsid w:val="00B67E86"/>
    <w:rsid w:val="00C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5084</Words>
  <Characters>28981</Characters>
  <Application>Microsoft Office Word</Application>
  <DocSecurity>0</DocSecurity>
  <Lines>241</Lines>
  <Paragraphs>67</Paragraphs>
  <ScaleCrop>false</ScaleCrop>
  <Company>Home</Company>
  <LinksUpToDate>false</LinksUpToDate>
  <CharactersWithSpaces>33998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2025-04-16T06:03:00Z</dcterms:created>
  <dcterms:modified xsi:type="dcterms:W3CDTF">2025-04-16T06:05:00Z</dcterms:modified>
</cp:coreProperties>
</file>